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67" w:rsidRPr="00524B0D" w:rsidRDefault="00C95D67" w:rsidP="00524B0D">
      <w:pPr>
        <w:spacing w:before="18"/>
        <w:ind w:left="933"/>
        <w:rPr>
          <w:rFonts w:ascii="華康標楷體 Std W5" w:eastAsia="華康標楷體 Std W5" w:hAnsi="華康標楷體 Std W5"/>
          <w:sz w:val="32"/>
          <w:lang w:eastAsia="zh-TW"/>
        </w:rPr>
      </w:pPr>
      <w:bookmarkStart w:id="0" w:name="_GoBack"/>
      <w:bookmarkEnd w:id="0"/>
      <w:r w:rsidRPr="00524B0D">
        <w:rPr>
          <w:rFonts w:ascii="華康標楷體 Std W5" w:eastAsia="華康標楷體 Std W5" w:hAnsi="華康標楷體 Std W5"/>
          <w:sz w:val="32"/>
          <w:lang w:eastAsia="zh-TW"/>
        </w:rPr>
        <w:t>國立東華大學</w:t>
      </w:r>
      <w:r w:rsidRPr="00524B0D">
        <w:rPr>
          <w:rFonts w:ascii="華康標楷體 Std W5" w:eastAsia="華康標楷體 Std W5" w:hAnsi="華康標楷體 Std W5" w:hint="eastAsia"/>
          <w:sz w:val="32"/>
          <w:lang w:eastAsia="zh-TW"/>
        </w:rPr>
        <w:t>多元文化教育</w:t>
      </w:r>
      <w:r w:rsidRPr="00524B0D">
        <w:rPr>
          <w:rFonts w:ascii="華康標楷體 Std W5" w:eastAsia="華康標楷體 Std W5" w:hAnsi="華康標楷體 Std W5"/>
          <w:sz w:val="32"/>
          <w:lang w:eastAsia="zh-TW"/>
        </w:rPr>
        <w:t>碩</w:t>
      </w:r>
      <w:r w:rsidRPr="00524B0D">
        <w:rPr>
          <w:rFonts w:ascii="華康標楷體 Std W5" w:eastAsia="華康標楷體 Std W5" w:hAnsi="華康標楷體 Std W5" w:hint="eastAsia"/>
          <w:sz w:val="32"/>
          <w:lang w:eastAsia="zh-TW"/>
        </w:rPr>
        <w:t>士班及多元文化教育博士班</w:t>
      </w:r>
    </w:p>
    <w:p w:rsidR="00C95D67" w:rsidRPr="00524B0D" w:rsidRDefault="00C95D67" w:rsidP="00C95D67">
      <w:pPr>
        <w:spacing w:before="18"/>
        <w:jc w:val="center"/>
        <w:rPr>
          <w:rFonts w:ascii="華康標楷體 Std W5" w:eastAsia="華康標楷體 Std W5" w:hAnsi="華康標楷體 Std W5"/>
          <w:sz w:val="32"/>
          <w:lang w:eastAsia="zh-TW"/>
        </w:rPr>
      </w:pPr>
      <w:r w:rsidRPr="00524B0D">
        <w:rPr>
          <w:rFonts w:ascii="華康標楷體 Std W5" w:eastAsia="華康標楷體 Std W5" w:hAnsi="華康標楷體 Std W5"/>
          <w:sz w:val="32"/>
          <w:lang w:eastAsia="zh-TW"/>
        </w:rPr>
        <w:t>研究生獎學金分配原則</w:t>
      </w:r>
    </w:p>
    <w:p w:rsidR="00C95D67" w:rsidRDefault="00C95D67" w:rsidP="00C95D67">
      <w:pPr>
        <w:spacing w:before="18"/>
        <w:jc w:val="center"/>
        <w:rPr>
          <w:rFonts w:ascii="華康標楷體 Std W5" w:eastAsia="華康標楷體 Std W5" w:hAnsi="華康標楷體 Std W5"/>
          <w:sz w:val="32"/>
          <w:lang w:eastAsia="zh-TW"/>
        </w:rPr>
      </w:pPr>
    </w:p>
    <w:p w:rsidR="00C95D67" w:rsidRPr="00967F42" w:rsidRDefault="00C95D67" w:rsidP="00C95D67">
      <w:pPr>
        <w:tabs>
          <w:tab w:val="left" w:pos="895"/>
        </w:tabs>
        <w:ind w:right="99"/>
        <w:jc w:val="right"/>
        <w:rPr>
          <w:spacing w:val="-13"/>
          <w:sz w:val="20"/>
          <w:lang w:eastAsia="zh-TW"/>
        </w:rPr>
      </w:pPr>
      <w:r w:rsidRPr="00967F42">
        <w:rPr>
          <w:spacing w:val="-13"/>
          <w:sz w:val="20"/>
          <w:lang w:eastAsia="zh-TW"/>
        </w:rPr>
        <w:t>113</w:t>
      </w:r>
      <w:r w:rsidRPr="00967F42">
        <w:rPr>
          <w:rFonts w:hint="eastAsia"/>
          <w:spacing w:val="-13"/>
          <w:sz w:val="20"/>
          <w:lang w:eastAsia="zh-TW"/>
        </w:rPr>
        <w:t>年</w:t>
      </w:r>
      <w:r w:rsidR="00524B0D">
        <w:rPr>
          <w:spacing w:val="-13"/>
          <w:sz w:val="20"/>
          <w:lang w:eastAsia="zh-TW"/>
        </w:rPr>
        <w:t>5</w:t>
      </w:r>
      <w:r w:rsidRPr="00967F42">
        <w:rPr>
          <w:rFonts w:hint="eastAsia"/>
          <w:spacing w:val="-13"/>
          <w:sz w:val="20"/>
          <w:lang w:eastAsia="zh-TW"/>
        </w:rPr>
        <w:t>月</w:t>
      </w:r>
      <w:r w:rsidR="00524B0D">
        <w:rPr>
          <w:spacing w:val="-13"/>
          <w:sz w:val="20"/>
          <w:lang w:eastAsia="zh-TW"/>
        </w:rPr>
        <w:t>14</w:t>
      </w:r>
      <w:r w:rsidRPr="00967F42">
        <w:rPr>
          <w:rFonts w:hint="eastAsia"/>
          <w:spacing w:val="-13"/>
          <w:sz w:val="20"/>
          <w:lang w:eastAsia="zh-TW"/>
        </w:rPr>
        <w:t>日</w:t>
      </w:r>
      <w:r w:rsidRPr="00967F42">
        <w:rPr>
          <w:spacing w:val="-13"/>
          <w:sz w:val="20"/>
          <w:lang w:eastAsia="zh-TW"/>
        </w:rPr>
        <w:t xml:space="preserve"> 112</w:t>
      </w:r>
      <w:r w:rsidRPr="00967F42">
        <w:rPr>
          <w:rFonts w:hint="eastAsia"/>
          <w:spacing w:val="-13"/>
          <w:sz w:val="20"/>
          <w:lang w:eastAsia="zh-TW"/>
        </w:rPr>
        <w:t>學年</w:t>
      </w:r>
      <w:r w:rsidRPr="00967F42">
        <w:rPr>
          <w:spacing w:val="-13"/>
          <w:sz w:val="20"/>
          <w:lang w:eastAsia="zh-TW"/>
        </w:rPr>
        <w:t>度第</w:t>
      </w:r>
      <w:r w:rsidR="00524B0D">
        <w:rPr>
          <w:spacing w:val="-13"/>
          <w:sz w:val="20"/>
          <w:lang w:eastAsia="zh-TW"/>
        </w:rPr>
        <w:t>2</w:t>
      </w:r>
      <w:r>
        <w:rPr>
          <w:spacing w:val="-13"/>
          <w:sz w:val="20"/>
          <w:lang w:eastAsia="zh-TW"/>
        </w:rPr>
        <w:t>學期第</w:t>
      </w:r>
      <w:r w:rsidR="00524B0D">
        <w:rPr>
          <w:spacing w:val="-13"/>
          <w:sz w:val="20"/>
          <w:lang w:eastAsia="zh-TW"/>
        </w:rPr>
        <w:t>3</w:t>
      </w:r>
      <w:r w:rsidRPr="00967F42">
        <w:rPr>
          <w:spacing w:val="-13"/>
          <w:sz w:val="20"/>
          <w:lang w:eastAsia="zh-TW"/>
        </w:rPr>
        <w:t>次</w:t>
      </w:r>
      <w:r w:rsidRPr="00967F42">
        <w:rPr>
          <w:rFonts w:hint="eastAsia"/>
          <w:spacing w:val="-13"/>
          <w:sz w:val="20"/>
          <w:lang w:eastAsia="zh-TW"/>
        </w:rPr>
        <w:t>班</w:t>
      </w:r>
      <w:r w:rsidRPr="00967F42">
        <w:rPr>
          <w:spacing w:val="-13"/>
          <w:sz w:val="20"/>
          <w:lang w:eastAsia="zh-TW"/>
        </w:rPr>
        <w:t>務會議通過</w:t>
      </w:r>
    </w:p>
    <w:p w:rsidR="00C95D67" w:rsidRPr="00C95D67" w:rsidRDefault="00C95D67" w:rsidP="00C95D67">
      <w:pPr>
        <w:spacing w:before="18"/>
        <w:jc w:val="center"/>
        <w:rPr>
          <w:rFonts w:ascii="華康標楷體 Std W5" w:eastAsia="華康標楷體 Std W5" w:hAnsi="華康標楷體 Std W5"/>
          <w:sz w:val="32"/>
          <w:lang w:eastAsia="zh-TW"/>
        </w:rPr>
      </w:pPr>
    </w:p>
    <w:p w:rsidR="00C95D67" w:rsidRPr="00215AEE" w:rsidRDefault="00C95D67" w:rsidP="00C95D67">
      <w:pPr>
        <w:pStyle w:val="a3"/>
        <w:spacing w:line="223" w:lineRule="auto"/>
        <w:ind w:left="592" w:right="110" w:hanging="480"/>
        <w:jc w:val="both"/>
        <w:rPr>
          <w:spacing w:val="-6"/>
          <w:lang w:eastAsia="zh-TW"/>
        </w:rPr>
      </w:pPr>
      <w:r>
        <w:rPr>
          <w:spacing w:val="-6"/>
          <w:lang w:eastAsia="zh-TW"/>
        </w:rPr>
        <w:t>一、國立東華大學</w:t>
      </w:r>
      <w:r w:rsidRPr="0057100E">
        <w:rPr>
          <w:rFonts w:hint="eastAsia"/>
          <w:spacing w:val="-6"/>
          <w:lang w:eastAsia="zh-TW"/>
        </w:rPr>
        <w:t>多元文化教育</w:t>
      </w:r>
      <w:r w:rsidRPr="0057100E">
        <w:rPr>
          <w:spacing w:val="-6"/>
          <w:lang w:eastAsia="zh-TW"/>
        </w:rPr>
        <w:t>碩</w:t>
      </w:r>
      <w:r w:rsidRPr="0057100E">
        <w:rPr>
          <w:rFonts w:hint="eastAsia"/>
          <w:spacing w:val="-6"/>
          <w:lang w:eastAsia="zh-TW"/>
        </w:rPr>
        <w:t>士班及多元文化教育博士班</w:t>
      </w:r>
      <w:r w:rsidRPr="0057100E">
        <w:rPr>
          <w:spacing w:val="-6"/>
          <w:lang w:eastAsia="zh-TW"/>
        </w:rPr>
        <w:t>（</w:t>
      </w:r>
      <w:r w:rsidRPr="00215AEE">
        <w:rPr>
          <w:spacing w:val="-6"/>
          <w:lang w:eastAsia="zh-TW"/>
        </w:rPr>
        <w:t>以下簡稱「本</w:t>
      </w:r>
      <w:r w:rsidRPr="00215AEE">
        <w:rPr>
          <w:rFonts w:hint="eastAsia"/>
          <w:spacing w:val="-6"/>
          <w:lang w:eastAsia="zh-TW"/>
        </w:rPr>
        <w:t>班</w:t>
      </w:r>
      <w:r w:rsidRPr="00215AEE">
        <w:rPr>
          <w:spacing w:val="-6"/>
          <w:lang w:eastAsia="zh-TW"/>
        </w:rPr>
        <w:t>」）為獎勵學行優良學生並協助學生學習，提昇研究知能及學術水準，規範本</w:t>
      </w:r>
      <w:r w:rsidRPr="00215AEE">
        <w:rPr>
          <w:rFonts w:hint="eastAsia"/>
          <w:spacing w:val="-6"/>
          <w:lang w:eastAsia="zh-TW"/>
        </w:rPr>
        <w:t>班</w:t>
      </w:r>
      <w:r w:rsidRPr="00215AEE">
        <w:rPr>
          <w:spacing w:val="-6"/>
          <w:lang w:eastAsia="zh-TW"/>
        </w:rPr>
        <w:t>研究生獎學金分配，依據「國立東華大學研究生獎學金作業要點」訂定本分配原則。</w:t>
      </w:r>
    </w:p>
    <w:p w:rsidR="00C95D67" w:rsidRPr="00215AEE" w:rsidRDefault="00C95D67" w:rsidP="00C95D67">
      <w:pPr>
        <w:pStyle w:val="a3"/>
        <w:spacing w:line="309" w:lineRule="exact"/>
        <w:rPr>
          <w:spacing w:val="-6"/>
          <w:lang w:eastAsia="zh-TW"/>
        </w:rPr>
      </w:pPr>
      <w:r w:rsidRPr="00215AEE">
        <w:rPr>
          <w:spacing w:val="-6"/>
          <w:lang w:eastAsia="zh-TW"/>
        </w:rPr>
        <w:t>二、申請資格：</w:t>
      </w:r>
    </w:p>
    <w:p w:rsidR="00C95D67" w:rsidRPr="00215AEE" w:rsidRDefault="00C95D67" w:rsidP="00C95D67">
      <w:pPr>
        <w:pStyle w:val="a3"/>
        <w:spacing w:line="312" w:lineRule="exact"/>
        <w:ind w:left="592"/>
        <w:rPr>
          <w:spacing w:val="-6"/>
          <w:lang w:eastAsia="zh-TW"/>
        </w:rPr>
      </w:pPr>
      <w:r w:rsidRPr="00215AEE">
        <w:rPr>
          <w:spacing w:val="-6"/>
          <w:lang w:eastAsia="zh-TW"/>
        </w:rPr>
        <w:t>（一）具在學資格之研究生，碩士生以一、二年級為優先，博士生以一至三年級為優先。</w:t>
      </w:r>
    </w:p>
    <w:p w:rsidR="00C95D67" w:rsidRDefault="00C95D67" w:rsidP="00C95D67">
      <w:pPr>
        <w:pStyle w:val="a3"/>
        <w:spacing w:before="5" w:line="223" w:lineRule="auto"/>
        <w:ind w:right="3271" w:firstLine="480"/>
        <w:rPr>
          <w:spacing w:val="-6"/>
          <w:lang w:eastAsia="zh-TW"/>
        </w:rPr>
      </w:pPr>
      <w:r w:rsidRPr="00215AEE">
        <w:rPr>
          <w:spacing w:val="-6"/>
          <w:lang w:eastAsia="zh-TW"/>
        </w:rPr>
        <w:t>（二）領取本獎學金之同學，不得在校內外有專任職務。</w:t>
      </w:r>
    </w:p>
    <w:p w:rsidR="00C95D67" w:rsidRPr="00215AEE" w:rsidRDefault="00C95D67" w:rsidP="00C95D67">
      <w:pPr>
        <w:pStyle w:val="a3"/>
        <w:spacing w:before="5" w:line="223" w:lineRule="auto"/>
        <w:ind w:right="3271"/>
        <w:rPr>
          <w:spacing w:val="-6"/>
          <w:lang w:eastAsia="zh-TW"/>
        </w:rPr>
      </w:pPr>
      <w:r w:rsidRPr="00215AEE">
        <w:rPr>
          <w:spacing w:val="-6"/>
          <w:lang w:eastAsia="zh-TW"/>
        </w:rPr>
        <w:t>三、獎學金核發原則：</w:t>
      </w:r>
    </w:p>
    <w:p w:rsidR="00C95D67" w:rsidRPr="00215AEE" w:rsidRDefault="00C95D67" w:rsidP="00C95D67">
      <w:pPr>
        <w:pStyle w:val="a3"/>
        <w:spacing w:line="223" w:lineRule="auto"/>
        <w:ind w:left="1312" w:right="113" w:hanging="720"/>
        <w:jc w:val="both"/>
        <w:rPr>
          <w:spacing w:val="-6"/>
          <w:lang w:eastAsia="zh-TW"/>
        </w:rPr>
      </w:pPr>
      <w:r w:rsidRPr="00215AEE">
        <w:rPr>
          <w:spacing w:val="-6"/>
          <w:lang w:eastAsia="zh-TW"/>
        </w:rPr>
        <w:t>（一）本</w:t>
      </w:r>
      <w:r w:rsidRPr="00215AEE">
        <w:rPr>
          <w:rFonts w:hint="eastAsia"/>
          <w:spacing w:val="-6"/>
          <w:lang w:eastAsia="zh-TW"/>
        </w:rPr>
        <w:t>班</w:t>
      </w:r>
      <w:r w:rsidRPr="00215AEE">
        <w:rPr>
          <w:spacing w:val="-6"/>
          <w:lang w:eastAsia="zh-TW"/>
        </w:rPr>
        <w:t>在學之碩、博士班研究生，於每學期規定時間內提出申請。原則上，碩士生每月核發獎學金 1 個基數、博士班研究生每月核發獎學金 2 個基數（每學期發給五個月為原則，碩士生以一至二年級為限、博士生以一至三年級為限），其中基數金額依學校核撥經費調整之。</w:t>
      </w:r>
    </w:p>
    <w:p w:rsidR="00C95D67" w:rsidRPr="00C95D67" w:rsidRDefault="00C95D67" w:rsidP="00C95D67">
      <w:pPr>
        <w:tabs>
          <w:tab w:val="left" w:pos="2034"/>
        </w:tabs>
        <w:spacing w:line="223" w:lineRule="auto"/>
        <w:ind w:right="113"/>
        <w:rPr>
          <w:spacing w:val="-6"/>
          <w:sz w:val="24"/>
          <w:szCs w:val="24"/>
          <w:lang w:eastAsia="zh-TW"/>
        </w:rPr>
      </w:pPr>
      <w:r w:rsidRPr="00C95D67">
        <w:rPr>
          <w:rFonts w:hint="eastAsia"/>
          <w:spacing w:val="-6"/>
          <w:sz w:val="24"/>
          <w:szCs w:val="24"/>
          <w:lang w:eastAsia="zh-TW"/>
        </w:rPr>
        <w:t xml:space="preserve">     </w:t>
      </w:r>
      <w:r w:rsidRPr="00C95D67">
        <w:rPr>
          <w:spacing w:val="-6"/>
          <w:sz w:val="24"/>
          <w:szCs w:val="24"/>
          <w:lang w:eastAsia="zh-TW"/>
        </w:rPr>
        <w:t>（</w:t>
      </w:r>
      <w:r w:rsidR="00524B0D">
        <w:rPr>
          <w:rFonts w:hint="eastAsia"/>
          <w:spacing w:val="-6"/>
          <w:sz w:val="24"/>
          <w:szCs w:val="24"/>
          <w:lang w:eastAsia="zh-TW"/>
        </w:rPr>
        <w:t>二</w:t>
      </w:r>
      <w:r w:rsidRPr="00C95D67">
        <w:rPr>
          <w:spacing w:val="-6"/>
          <w:sz w:val="24"/>
          <w:szCs w:val="24"/>
          <w:lang w:eastAsia="zh-TW"/>
        </w:rPr>
        <w:t>）</w:t>
      </w:r>
      <w:r w:rsidRPr="00C95D67">
        <w:rPr>
          <w:rFonts w:hint="eastAsia"/>
          <w:spacing w:val="-6"/>
          <w:sz w:val="24"/>
          <w:szCs w:val="24"/>
          <w:lang w:eastAsia="zh-TW"/>
        </w:rPr>
        <w:t>若有其他特殊需求需經班務會議通過</w:t>
      </w:r>
      <w:r w:rsidR="00761B16" w:rsidRPr="00524B0D">
        <w:rPr>
          <w:rFonts w:hint="eastAsia"/>
          <w:spacing w:val="-6"/>
          <w:sz w:val="24"/>
          <w:szCs w:val="24"/>
          <w:lang w:eastAsia="zh-TW"/>
        </w:rPr>
        <w:t>核定</w:t>
      </w:r>
      <w:r w:rsidRPr="00C95D67">
        <w:rPr>
          <w:rFonts w:hint="eastAsia"/>
          <w:spacing w:val="-6"/>
          <w:sz w:val="24"/>
          <w:szCs w:val="24"/>
          <w:lang w:eastAsia="zh-TW"/>
        </w:rPr>
        <w:t>。</w:t>
      </w:r>
    </w:p>
    <w:p w:rsidR="00C95D67" w:rsidRPr="00215AEE" w:rsidRDefault="00C95D67" w:rsidP="00C95D67">
      <w:pPr>
        <w:pStyle w:val="a3"/>
        <w:spacing w:before="1" w:line="223" w:lineRule="auto"/>
        <w:ind w:left="1312" w:right="110" w:hanging="720"/>
        <w:rPr>
          <w:spacing w:val="-6"/>
          <w:lang w:eastAsia="zh-TW"/>
        </w:rPr>
      </w:pPr>
      <w:r w:rsidRPr="00215AEE">
        <w:rPr>
          <w:spacing w:val="-6"/>
          <w:lang w:eastAsia="zh-TW"/>
        </w:rPr>
        <w:t>（</w:t>
      </w:r>
      <w:r w:rsidR="00524B0D">
        <w:rPr>
          <w:rFonts w:hint="eastAsia"/>
          <w:spacing w:val="-6"/>
          <w:lang w:eastAsia="zh-TW"/>
        </w:rPr>
        <w:t>三</w:t>
      </w:r>
      <w:r w:rsidRPr="00215AEE">
        <w:rPr>
          <w:spacing w:val="-6"/>
          <w:lang w:eastAsia="zh-TW"/>
        </w:rPr>
        <w:t>）研究生領取獎學金，博士生每名每月不得超過 15,000 元，碩士生每名每月不得超過 7,500 元。</w:t>
      </w:r>
    </w:p>
    <w:p w:rsidR="00C95D67" w:rsidRPr="00215AEE" w:rsidRDefault="00524B0D" w:rsidP="00C95D67">
      <w:pPr>
        <w:pStyle w:val="a3"/>
        <w:spacing w:line="223" w:lineRule="auto"/>
        <w:ind w:left="1312" w:right="119" w:hanging="720"/>
        <w:rPr>
          <w:spacing w:val="-6"/>
          <w:lang w:eastAsia="zh-TW"/>
        </w:rPr>
      </w:pPr>
      <w:r>
        <w:rPr>
          <w:spacing w:val="-6"/>
          <w:lang w:eastAsia="zh-TW"/>
        </w:rPr>
        <w:t>（</w:t>
      </w:r>
      <w:r>
        <w:rPr>
          <w:rFonts w:hint="eastAsia"/>
          <w:spacing w:val="-6"/>
          <w:lang w:eastAsia="zh-TW"/>
        </w:rPr>
        <w:t>四</w:t>
      </w:r>
      <w:r w:rsidR="00C95D67" w:rsidRPr="00215AEE">
        <w:rPr>
          <w:spacing w:val="-6"/>
          <w:lang w:eastAsia="zh-TW"/>
        </w:rPr>
        <w:t>）本</w:t>
      </w:r>
      <w:r w:rsidR="00C95D67" w:rsidRPr="00215AEE">
        <w:rPr>
          <w:rFonts w:hint="eastAsia"/>
          <w:spacing w:val="-6"/>
          <w:lang w:eastAsia="zh-TW"/>
        </w:rPr>
        <w:t>班</w:t>
      </w:r>
      <w:r w:rsidR="00C95D67" w:rsidRPr="00215AEE">
        <w:rPr>
          <w:spacing w:val="-6"/>
          <w:lang w:eastAsia="zh-TW"/>
        </w:rPr>
        <w:t>受核配年度獎學金額度未支用範圍內，得依校方流用比例規定流至本</w:t>
      </w:r>
      <w:r w:rsidR="00C95D67" w:rsidRPr="00215AEE">
        <w:rPr>
          <w:rFonts w:hint="eastAsia"/>
          <w:spacing w:val="-6"/>
          <w:lang w:eastAsia="zh-TW"/>
        </w:rPr>
        <w:t>班</w:t>
      </w:r>
      <w:r w:rsidR="00C95D67" w:rsidRPr="00215AEE">
        <w:rPr>
          <w:spacing w:val="-6"/>
          <w:lang w:eastAsia="zh-TW"/>
        </w:rPr>
        <w:t>教學助理助學金及工讀金使用。</w:t>
      </w:r>
    </w:p>
    <w:p w:rsidR="00C95D67" w:rsidRDefault="00C95D67" w:rsidP="00C95D67">
      <w:pPr>
        <w:pStyle w:val="a3"/>
        <w:spacing w:line="223" w:lineRule="auto"/>
        <w:ind w:right="511"/>
        <w:rPr>
          <w:spacing w:val="-6"/>
          <w:lang w:eastAsia="zh-TW"/>
        </w:rPr>
      </w:pPr>
      <w:r w:rsidRPr="00215AEE">
        <w:rPr>
          <w:spacing w:val="-6"/>
          <w:lang w:eastAsia="zh-TW"/>
        </w:rPr>
        <w:t>四、申請時間：每學期開學前 1 週至開學後 1 週內申請。</w:t>
      </w:r>
    </w:p>
    <w:p w:rsidR="00C95D67" w:rsidRPr="00215AEE" w:rsidRDefault="00C95D67" w:rsidP="00C95D67">
      <w:pPr>
        <w:pStyle w:val="a3"/>
        <w:spacing w:line="223" w:lineRule="auto"/>
        <w:ind w:right="511"/>
        <w:rPr>
          <w:spacing w:val="-6"/>
          <w:lang w:eastAsia="zh-TW"/>
        </w:rPr>
      </w:pPr>
      <w:r w:rsidRPr="00215AEE">
        <w:rPr>
          <w:spacing w:val="-6"/>
          <w:lang w:eastAsia="zh-TW"/>
        </w:rPr>
        <w:t>五、本原則未盡事宜，悉依相關規定辦理。</w:t>
      </w:r>
    </w:p>
    <w:p w:rsidR="00C95D67" w:rsidRPr="00215AEE" w:rsidRDefault="00C95D67" w:rsidP="00C95D67">
      <w:pPr>
        <w:pStyle w:val="a3"/>
        <w:spacing w:line="319" w:lineRule="exact"/>
        <w:rPr>
          <w:spacing w:val="-6"/>
          <w:lang w:eastAsia="zh-TW"/>
        </w:rPr>
      </w:pPr>
      <w:r w:rsidRPr="00215AEE">
        <w:rPr>
          <w:spacing w:val="-6"/>
          <w:lang w:eastAsia="zh-TW"/>
        </w:rPr>
        <w:t>六、本原則經本</w:t>
      </w:r>
      <w:r w:rsidRPr="00215AEE">
        <w:rPr>
          <w:rFonts w:hint="eastAsia"/>
          <w:spacing w:val="-6"/>
          <w:lang w:eastAsia="zh-TW"/>
        </w:rPr>
        <w:t>班班</w:t>
      </w:r>
      <w:r w:rsidRPr="00215AEE">
        <w:rPr>
          <w:spacing w:val="-6"/>
          <w:lang w:eastAsia="zh-TW"/>
        </w:rPr>
        <w:t>務會議通過，送院主管會議通過後，報教務處核備後實施，修正時亦同。</w:t>
      </w:r>
    </w:p>
    <w:p w:rsidR="00EE0878" w:rsidRPr="00C95D67" w:rsidRDefault="00EE0878" w:rsidP="00C95D67">
      <w:pPr>
        <w:rPr>
          <w:lang w:eastAsia="zh-TW"/>
        </w:rPr>
      </w:pPr>
    </w:p>
    <w:sectPr w:rsidR="00EE0878" w:rsidRPr="00C95D67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78" w:rsidRDefault="00A31E78" w:rsidP="004B5B62">
      <w:r>
        <w:separator/>
      </w:r>
    </w:p>
  </w:endnote>
  <w:endnote w:type="continuationSeparator" w:id="0">
    <w:p w:rsidR="00A31E78" w:rsidRDefault="00A31E78" w:rsidP="004B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 Std W5">
    <w:altName w:val="Malgun Gothic Semilight"/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78" w:rsidRDefault="00A31E78" w:rsidP="004B5B62">
      <w:r>
        <w:separator/>
      </w:r>
    </w:p>
  </w:footnote>
  <w:footnote w:type="continuationSeparator" w:id="0">
    <w:p w:rsidR="00A31E78" w:rsidRDefault="00A31E78" w:rsidP="004B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2E3F"/>
    <w:multiLevelType w:val="hybridMultilevel"/>
    <w:tmpl w:val="B68C921E"/>
    <w:lvl w:ilvl="0" w:tplc="0F489B9E">
      <w:start w:val="103"/>
      <w:numFmt w:val="decimal"/>
      <w:lvlText w:val="%1"/>
      <w:lvlJc w:val="left"/>
      <w:pPr>
        <w:ind w:left="5592" w:hanging="281"/>
      </w:pPr>
      <w:rPr>
        <w:rFonts w:ascii="標楷體" w:eastAsia="標楷體" w:hAnsi="標楷體" w:cs="標楷體" w:hint="default"/>
        <w:spacing w:val="-2"/>
        <w:w w:val="100"/>
        <w:sz w:val="16"/>
        <w:szCs w:val="16"/>
      </w:rPr>
    </w:lvl>
    <w:lvl w:ilvl="1" w:tplc="75C8E7F2">
      <w:numFmt w:val="bullet"/>
      <w:lvlText w:val="•"/>
      <w:lvlJc w:val="left"/>
      <w:pPr>
        <w:ind w:left="6080" w:hanging="281"/>
      </w:pPr>
      <w:rPr>
        <w:rFonts w:hint="default"/>
      </w:rPr>
    </w:lvl>
    <w:lvl w:ilvl="2" w:tplc="CAD49D7E">
      <w:numFmt w:val="bullet"/>
      <w:lvlText w:val="•"/>
      <w:lvlJc w:val="left"/>
      <w:pPr>
        <w:ind w:left="6500" w:hanging="281"/>
      </w:pPr>
      <w:rPr>
        <w:rFonts w:hint="default"/>
      </w:rPr>
    </w:lvl>
    <w:lvl w:ilvl="3" w:tplc="6D20F67A">
      <w:numFmt w:val="bullet"/>
      <w:lvlText w:val="•"/>
      <w:lvlJc w:val="left"/>
      <w:pPr>
        <w:ind w:left="6921" w:hanging="281"/>
      </w:pPr>
      <w:rPr>
        <w:rFonts w:hint="default"/>
      </w:rPr>
    </w:lvl>
    <w:lvl w:ilvl="4" w:tplc="72BE83EE">
      <w:numFmt w:val="bullet"/>
      <w:lvlText w:val="•"/>
      <w:lvlJc w:val="left"/>
      <w:pPr>
        <w:ind w:left="7342" w:hanging="281"/>
      </w:pPr>
      <w:rPr>
        <w:rFonts w:hint="default"/>
      </w:rPr>
    </w:lvl>
    <w:lvl w:ilvl="5" w:tplc="D4543F66">
      <w:numFmt w:val="bullet"/>
      <w:lvlText w:val="•"/>
      <w:lvlJc w:val="left"/>
      <w:pPr>
        <w:ind w:left="7762" w:hanging="281"/>
      </w:pPr>
      <w:rPr>
        <w:rFonts w:hint="default"/>
      </w:rPr>
    </w:lvl>
    <w:lvl w:ilvl="6" w:tplc="776E4E8A">
      <w:numFmt w:val="bullet"/>
      <w:lvlText w:val="•"/>
      <w:lvlJc w:val="left"/>
      <w:pPr>
        <w:ind w:left="8183" w:hanging="281"/>
      </w:pPr>
      <w:rPr>
        <w:rFonts w:hint="default"/>
      </w:rPr>
    </w:lvl>
    <w:lvl w:ilvl="7" w:tplc="8006FFF4">
      <w:numFmt w:val="bullet"/>
      <w:lvlText w:val="•"/>
      <w:lvlJc w:val="left"/>
      <w:pPr>
        <w:ind w:left="8604" w:hanging="281"/>
      </w:pPr>
      <w:rPr>
        <w:rFonts w:hint="default"/>
      </w:rPr>
    </w:lvl>
    <w:lvl w:ilvl="8" w:tplc="C4384798">
      <w:numFmt w:val="bullet"/>
      <w:lvlText w:val="•"/>
      <w:lvlJc w:val="left"/>
      <w:pPr>
        <w:ind w:left="9024" w:hanging="281"/>
      </w:pPr>
      <w:rPr>
        <w:rFonts w:hint="default"/>
      </w:rPr>
    </w:lvl>
  </w:abstractNum>
  <w:abstractNum w:abstractNumId="1" w15:restartNumberingAfterBreak="0">
    <w:nsid w:val="24396453"/>
    <w:multiLevelType w:val="hybridMultilevel"/>
    <w:tmpl w:val="3A564A56"/>
    <w:lvl w:ilvl="0" w:tplc="3AC87392">
      <w:start w:val="1"/>
      <w:numFmt w:val="decimal"/>
      <w:lvlText w:val="%1."/>
      <w:lvlJc w:val="left"/>
      <w:pPr>
        <w:ind w:left="1552" w:hanging="241"/>
      </w:pPr>
      <w:rPr>
        <w:rFonts w:ascii="標楷體" w:eastAsia="標楷體" w:hAnsi="標楷體" w:cs="標楷體" w:hint="default"/>
        <w:spacing w:val="-142"/>
        <w:w w:val="100"/>
        <w:sz w:val="22"/>
        <w:szCs w:val="22"/>
      </w:rPr>
    </w:lvl>
    <w:lvl w:ilvl="1" w:tplc="057CA424">
      <w:start w:val="1"/>
      <w:numFmt w:val="decimal"/>
      <w:lvlText w:val="（%2）"/>
      <w:lvlJc w:val="left"/>
      <w:pPr>
        <w:ind w:left="2032" w:hanging="603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2" w:tplc="8AE6115A">
      <w:numFmt w:val="bullet"/>
      <w:lvlText w:val="•"/>
      <w:lvlJc w:val="left"/>
      <w:pPr>
        <w:ind w:left="2909" w:hanging="603"/>
      </w:pPr>
      <w:rPr>
        <w:rFonts w:hint="default"/>
      </w:rPr>
    </w:lvl>
    <w:lvl w:ilvl="3" w:tplc="12CC9AC6">
      <w:numFmt w:val="bullet"/>
      <w:lvlText w:val="•"/>
      <w:lvlJc w:val="left"/>
      <w:pPr>
        <w:ind w:left="3779" w:hanging="603"/>
      </w:pPr>
      <w:rPr>
        <w:rFonts w:hint="default"/>
      </w:rPr>
    </w:lvl>
    <w:lvl w:ilvl="4" w:tplc="2ECA637A">
      <w:numFmt w:val="bullet"/>
      <w:lvlText w:val="•"/>
      <w:lvlJc w:val="left"/>
      <w:pPr>
        <w:ind w:left="4648" w:hanging="603"/>
      </w:pPr>
      <w:rPr>
        <w:rFonts w:hint="default"/>
      </w:rPr>
    </w:lvl>
    <w:lvl w:ilvl="5" w:tplc="B6AC8424">
      <w:numFmt w:val="bullet"/>
      <w:lvlText w:val="•"/>
      <w:lvlJc w:val="left"/>
      <w:pPr>
        <w:ind w:left="5518" w:hanging="603"/>
      </w:pPr>
      <w:rPr>
        <w:rFonts w:hint="default"/>
      </w:rPr>
    </w:lvl>
    <w:lvl w:ilvl="6" w:tplc="C6D43AB0">
      <w:numFmt w:val="bullet"/>
      <w:lvlText w:val="•"/>
      <w:lvlJc w:val="left"/>
      <w:pPr>
        <w:ind w:left="6388" w:hanging="603"/>
      </w:pPr>
      <w:rPr>
        <w:rFonts w:hint="default"/>
      </w:rPr>
    </w:lvl>
    <w:lvl w:ilvl="7" w:tplc="BC3A9FD8">
      <w:numFmt w:val="bullet"/>
      <w:lvlText w:val="•"/>
      <w:lvlJc w:val="left"/>
      <w:pPr>
        <w:ind w:left="7257" w:hanging="603"/>
      </w:pPr>
      <w:rPr>
        <w:rFonts w:hint="default"/>
      </w:rPr>
    </w:lvl>
    <w:lvl w:ilvl="8" w:tplc="8CFC1DDE">
      <w:numFmt w:val="bullet"/>
      <w:lvlText w:val="•"/>
      <w:lvlJc w:val="left"/>
      <w:pPr>
        <w:ind w:left="8127" w:hanging="6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E0878"/>
    <w:rsid w:val="001438CD"/>
    <w:rsid w:val="00177EEB"/>
    <w:rsid w:val="001B1648"/>
    <w:rsid w:val="002F0059"/>
    <w:rsid w:val="0044531E"/>
    <w:rsid w:val="004B5B62"/>
    <w:rsid w:val="00524B0D"/>
    <w:rsid w:val="0057100E"/>
    <w:rsid w:val="00761B16"/>
    <w:rsid w:val="00A31E78"/>
    <w:rsid w:val="00B04813"/>
    <w:rsid w:val="00B2267A"/>
    <w:rsid w:val="00C95D67"/>
    <w:rsid w:val="00D84455"/>
    <w:rsid w:val="00DE5A03"/>
    <w:rsid w:val="00EB60B4"/>
    <w:rsid w:val="00ED0200"/>
    <w:rsid w:val="00EE0878"/>
    <w:rsid w:val="00E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C0AC"/>
  <w15:docId w15:val="{7BE0BC12-4CF8-4533-B31F-F1DFD53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032" w:right="110" w:hanging="5593"/>
      <w:jc w:val="right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4B5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5B62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5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5B62"/>
    <w:rPr>
      <w:rFonts w:ascii="標楷體" w:eastAsia="標楷體" w:hAnsi="標楷體" w:cs="標楷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C95D67"/>
    <w:rPr>
      <w:rFonts w:ascii="標楷體" w:eastAsia="標楷體" w:hAnsi="標楷體" w:cs="標楷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1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2024-04-16T01:55:00Z</cp:lastPrinted>
  <dcterms:created xsi:type="dcterms:W3CDTF">2024-02-15T06:53:00Z</dcterms:created>
  <dcterms:modified xsi:type="dcterms:W3CDTF">2024-05-14T08:37:00Z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2024-02-15T00:00:00Z</vt:filetime>
  </property>
</Properties>
</file>